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DE5FB" w14:textId="77777777" w:rsidR="00444B7C" w:rsidRPr="00444B7C" w:rsidRDefault="00444B7C" w:rsidP="0032683E">
      <w:pPr>
        <w:jc w:val="center"/>
        <w:rPr>
          <w:b/>
          <w:bCs/>
          <w:sz w:val="20"/>
          <w:szCs w:val="20"/>
        </w:rPr>
      </w:pPr>
      <w:r w:rsidRPr="00444B7C">
        <w:rPr>
          <w:b/>
          <w:bCs/>
          <w:sz w:val="20"/>
          <w:szCs w:val="20"/>
        </w:rPr>
        <w:t>ANEXO V – REGRAS DO INSTRUMENTO SUBSTITUTIVO (NOTA DE EMPENHO)</w:t>
      </w:r>
    </w:p>
    <w:p w14:paraId="0DCCC326" w14:textId="6D6A522F" w:rsidR="00444B7C" w:rsidRPr="00444B7C" w:rsidRDefault="00444B7C" w:rsidP="00444B7C">
      <w:pPr>
        <w:jc w:val="both"/>
        <w:rPr>
          <w:sz w:val="20"/>
          <w:szCs w:val="20"/>
        </w:rPr>
      </w:pPr>
      <w:r w:rsidRPr="00444B7C">
        <w:rPr>
          <w:i/>
          <w:iCs/>
          <w:sz w:val="20"/>
          <w:szCs w:val="20"/>
        </w:rPr>
        <w:t>(Baseado no Art. 95, inciso I, da Lei nº 14.133/2021 e Orientação Normativa nº 84/2024)</w:t>
      </w:r>
    </w:p>
    <w:p w14:paraId="0367510A" w14:textId="77777777" w:rsidR="00444B7C" w:rsidRPr="00444B7C" w:rsidRDefault="00444B7C" w:rsidP="00444B7C">
      <w:pPr>
        <w:jc w:val="both"/>
        <w:rPr>
          <w:b/>
          <w:bCs/>
          <w:sz w:val="20"/>
          <w:szCs w:val="20"/>
        </w:rPr>
      </w:pPr>
      <w:r w:rsidRPr="00444B7C">
        <w:rPr>
          <w:b/>
          <w:bCs/>
          <w:sz w:val="20"/>
          <w:szCs w:val="20"/>
        </w:rPr>
        <w:t>1. DA FORMALIZAÇÃO E ACEITE</w:t>
      </w:r>
    </w:p>
    <w:p w14:paraId="2D9CA402" w14:textId="77777777" w:rsidR="00444B7C" w:rsidRPr="00444B7C" w:rsidRDefault="00444B7C" w:rsidP="00444B7C">
      <w:pPr>
        <w:jc w:val="both"/>
        <w:rPr>
          <w:sz w:val="20"/>
          <w:szCs w:val="20"/>
        </w:rPr>
      </w:pPr>
      <w:r w:rsidRPr="00444B7C">
        <w:rPr>
          <w:sz w:val="20"/>
          <w:szCs w:val="20"/>
        </w:rPr>
        <w:t>1.1. A contratação individual de cada parcela do objeto será formalizada mediante a emissão de </w:t>
      </w:r>
      <w:r w:rsidRPr="00444B7C">
        <w:rPr>
          <w:b/>
          <w:bCs/>
          <w:sz w:val="20"/>
          <w:szCs w:val="20"/>
        </w:rPr>
        <w:t>Nota de Empenho</w:t>
      </w:r>
      <w:r w:rsidRPr="00444B7C">
        <w:rPr>
          <w:sz w:val="20"/>
          <w:szCs w:val="20"/>
        </w:rPr>
        <w:t>, que substitui o termo de contrato para todos os fins legais.</w:t>
      </w:r>
      <w:r w:rsidRPr="00444B7C">
        <w:rPr>
          <w:sz w:val="20"/>
          <w:szCs w:val="20"/>
        </w:rPr>
        <w:br/>
        <w:t>1.2. O adjudicatário terá o prazo de </w:t>
      </w:r>
      <w:r w:rsidRPr="00444B7C">
        <w:rPr>
          <w:b/>
          <w:bCs/>
          <w:sz w:val="20"/>
          <w:szCs w:val="20"/>
        </w:rPr>
        <w:t>5 (cinco) dias úteis</w:t>
      </w:r>
      <w:r w:rsidRPr="00444B7C">
        <w:rPr>
          <w:sz w:val="20"/>
          <w:szCs w:val="20"/>
        </w:rPr>
        <w:t>, contado a partir da convocação via sistema eletrônico ou e-mail, para aceitar a Nota de Empenho, sob pena de decair do direito, sem prejuízo das sanções previstas no Edital.</w:t>
      </w:r>
      <w:r w:rsidRPr="00444B7C">
        <w:rPr>
          <w:sz w:val="20"/>
          <w:szCs w:val="20"/>
        </w:rPr>
        <w:br/>
        <w:t>1.3. O prazo poderá ser prorrogado uma única vez, por igual período, mediante solicitação justificada do adjudicatário e aceitação da Administração.</w:t>
      </w:r>
      <w:r w:rsidRPr="00444B7C">
        <w:rPr>
          <w:sz w:val="20"/>
          <w:szCs w:val="20"/>
        </w:rPr>
        <w:br/>
        <w:t>1.4. O aceite do instrumento pelo adjudicatário implica no reconhecimento de que:</w:t>
      </w:r>
      <w:r w:rsidRPr="00444B7C">
        <w:rPr>
          <w:sz w:val="20"/>
          <w:szCs w:val="20"/>
        </w:rPr>
        <w:br/>
        <w:t>1.4.1. Referido instrumento substitui o termo de contrato, sendo-lhe aplicáveis as disposições da </w:t>
      </w:r>
      <w:r w:rsidRPr="00444B7C">
        <w:rPr>
          <w:b/>
          <w:bCs/>
          <w:sz w:val="20"/>
          <w:szCs w:val="20"/>
        </w:rPr>
        <w:t>Lei nº 14.133/2021</w:t>
      </w:r>
      <w:r w:rsidRPr="00444B7C">
        <w:rPr>
          <w:sz w:val="20"/>
          <w:szCs w:val="20"/>
        </w:rPr>
        <w:t>;</w:t>
      </w:r>
      <w:r w:rsidRPr="00444B7C">
        <w:rPr>
          <w:sz w:val="20"/>
          <w:szCs w:val="20"/>
        </w:rPr>
        <w:br/>
        <w:t>1.4.2. O Contratado vincula-se à sua proposta, à </w:t>
      </w:r>
      <w:r w:rsidRPr="00444B7C">
        <w:rPr>
          <w:b/>
          <w:bCs/>
          <w:sz w:val="20"/>
          <w:szCs w:val="20"/>
        </w:rPr>
        <w:t>Ata de Registro de Preços</w:t>
      </w:r>
      <w:r w:rsidRPr="00444B7C">
        <w:rPr>
          <w:sz w:val="20"/>
          <w:szCs w:val="20"/>
        </w:rPr>
        <w:t>, ao Edital de Pregão e ao Termo de Referência. </w:t>
      </w:r>
    </w:p>
    <w:p w14:paraId="6D4C9D1E" w14:textId="77777777" w:rsidR="00444B7C" w:rsidRPr="00444B7C" w:rsidRDefault="00444B7C" w:rsidP="00444B7C">
      <w:pPr>
        <w:jc w:val="both"/>
        <w:rPr>
          <w:b/>
          <w:bCs/>
          <w:sz w:val="20"/>
          <w:szCs w:val="20"/>
        </w:rPr>
      </w:pPr>
      <w:r w:rsidRPr="00444B7C">
        <w:rPr>
          <w:b/>
          <w:bCs/>
          <w:sz w:val="20"/>
          <w:szCs w:val="20"/>
        </w:rPr>
        <w:t>2. DA VIGÊNCIA E ENTREGA</w:t>
      </w:r>
    </w:p>
    <w:p w14:paraId="2F34712D" w14:textId="77777777" w:rsidR="00444B7C" w:rsidRPr="00444B7C" w:rsidRDefault="00444B7C" w:rsidP="00444B7C">
      <w:pPr>
        <w:jc w:val="both"/>
        <w:rPr>
          <w:sz w:val="20"/>
          <w:szCs w:val="20"/>
        </w:rPr>
      </w:pPr>
      <w:r w:rsidRPr="00444B7C">
        <w:rPr>
          <w:sz w:val="20"/>
          <w:szCs w:val="20"/>
        </w:rPr>
        <w:t>2.1. O prazo de vigência da contratação (entrega do material) inicia-se com o recebimento da Nota de Empenho e encerra-se com o </w:t>
      </w:r>
      <w:r w:rsidRPr="00444B7C">
        <w:rPr>
          <w:b/>
          <w:bCs/>
          <w:sz w:val="20"/>
          <w:szCs w:val="20"/>
        </w:rPr>
        <w:t>recebimento definitivo</w:t>
      </w:r>
      <w:r w:rsidRPr="00444B7C">
        <w:rPr>
          <w:sz w:val="20"/>
          <w:szCs w:val="20"/>
        </w:rPr>
        <w:t> do objeto e a expiração do prazo de garantia técnica.</w:t>
      </w:r>
      <w:r w:rsidRPr="00444B7C">
        <w:rPr>
          <w:sz w:val="20"/>
          <w:szCs w:val="20"/>
        </w:rPr>
        <w:br/>
        <w:t>2.2. O prazo de entrega do material é aquele estabelecido no </w:t>
      </w:r>
      <w:r w:rsidRPr="00444B7C">
        <w:rPr>
          <w:b/>
          <w:bCs/>
          <w:sz w:val="20"/>
          <w:szCs w:val="20"/>
        </w:rPr>
        <w:t>Termo de Referência (Anexo I)</w:t>
      </w:r>
      <w:r w:rsidRPr="00444B7C">
        <w:rPr>
          <w:sz w:val="20"/>
          <w:szCs w:val="20"/>
        </w:rPr>
        <w:t>, contado a partir do aceite do empenho.</w:t>
      </w:r>
      <w:r w:rsidRPr="00444B7C">
        <w:rPr>
          <w:sz w:val="20"/>
          <w:szCs w:val="20"/>
        </w:rPr>
        <w:br/>
        <w:t>2.3. Eventuais atrasos na entrega deverão ser comunicados com antecedência mínima de 24 (vinte e quatro) horas da data limite, acompanhados de justificativa para análise da Administração. </w:t>
      </w:r>
    </w:p>
    <w:p w14:paraId="09E686C5" w14:textId="77777777" w:rsidR="00444B7C" w:rsidRPr="00444B7C" w:rsidRDefault="00444B7C" w:rsidP="00444B7C">
      <w:pPr>
        <w:jc w:val="both"/>
        <w:rPr>
          <w:b/>
          <w:bCs/>
          <w:sz w:val="20"/>
          <w:szCs w:val="20"/>
        </w:rPr>
      </w:pPr>
      <w:r w:rsidRPr="00444B7C">
        <w:rPr>
          <w:b/>
          <w:bCs/>
          <w:sz w:val="20"/>
          <w:szCs w:val="20"/>
        </w:rPr>
        <w:t>3. DAS OBRIGAÇÕES DO CONTRATADO</w:t>
      </w:r>
    </w:p>
    <w:p w14:paraId="6BCCE89D" w14:textId="77777777" w:rsidR="00444B7C" w:rsidRPr="00444B7C" w:rsidRDefault="00444B7C" w:rsidP="00444B7C">
      <w:pPr>
        <w:jc w:val="both"/>
        <w:rPr>
          <w:sz w:val="20"/>
          <w:szCs w:val="20"/>
        </w:rPr>
      </w:pPr>
      <w:r w:rsidRPr="00444B7C">
        <w:rPr>
          <w:sz w:val="20"/>
          <w:szCs w:val="20"/>
        </w:rPr>
        <w:t>3.1. Entregar o material rigorosamente dentro das especificações técnicas, marca e modelo aprovados na fase de julgamento da proposta.</w:t>
      </w:r>
      <w:r w:rsidRPr="00444B7C">
        <w:rPr>
          <w:sz w:val="20"/>
          <w:szCs w:val="20"/>
        </w:rPr>
        <w:br/>
        <w:t>3.2. Responsabilizar-se pelo transporte (</w:t>
      </w:r>
      <w:r w:rsidRPr="00444B7C">
        <w:rPr>
          <w:b/>
          <w:bCs/>
          <w:sz w:val="20"/>
          <w:szCs w:val="20"/>
        </w:rPr>
        <w:t>Frete CIF</w:t>
      </w:r>
      <w:r w:rsidRPr="00444B7C">
        <w:rPr>
          <w:sz w:val="20"/>
          <w:szCs w:val="20"/>
        </w:rPr>
        <w:t>), carga e descarregamento do material no local indicado em </w:t>
      </w:r>
      <w:r w:rsidRPr="00444B7C">
        <w:rPr>
          <w:b/>
          <w:bCs/>
          <w:sz w:val="20"/>
          <w:szCs w:val="20"/>
        </w:rPr>
        <w:t>Manaus/AM</w:t>
      </w:r>
      <w:r w:rsidRPr="00444B7C">
        <w:rPr>
          <w:sz w:val="20"/>
          <w:szCs w:val="20"/>
        </w:rPr>
        <w:t>, arcando com todos os riscos e custos logísticos.</w:t>
      </w:r>
      <w:r w:rsidRPr="00444B7C">
        <w:rPr>
          <w:sz w:val="20"/>
          <w:szCs w:val="20"/>
        </w:rPr>
        <w:br/>
        <w:t>3.3. Substituir, às suas expensas, no prazo fixado pela fiscalização, o material que apresentar vícios, defeitos ou divergências em relação ao solicitado.</w:t>
      </w:r>
      <w:r w:rsidRPr="00444B7C">
        <w:rPr>
          <w:sz w:val="20"/>
          <w:szCs w:val="20"/>
        </w:rPr>
        <w:br/>
        <w:t>3.4. Manter as condições de habilitação jurídica, fiscal e trabalhista durante todo o período de execução do pedido. </w:t>
      </w:r>
    </w:p>
    <w:p w14:paraId="2F04BFF4" w14:textId="77777777" w:rsidR="00444B7C" w:rsidRPr="00444B7C" w:rsidRDefault="00444B7C" w:rsidP="00444B7C">
      <w:pPr>
        <w:jc w:val="both"/>
        <w:rPr>
          <w:b/>
          <w:bCs/>
          <w:sz w:val="20"/>
          <w:szCs w:val="20"/>
        </w:rPr>
      </w:pPr>
      <w:r w:rsidRPr="00444B7C">
        <w:rPr>
          <w:b/>
          <w:bCs/>
          <w:sz w:val="20"/>
          <w:szCs w:val="20"/>
        </w:rPr>
        <w:t>4. DO RECEBIMENTO E PAGAMENTO</w:t>
      </w:r>
    </w:p>
    <w:p w14:paraId="6444C34A" w14:textId="77777777" w:rsidR="00444B7C" w:rsidRPr="00444B7C" w:rsidRDefault="00444B7C" w:rsidP="00444B7C">
      <w:pPr>
        <w:jc w:val="both"/>
        <w:rPr>
          <w:sz w:val="20"/>
          <w:szCs w:val="20"/>
        </w:rPr>
      </w:pPr>
      <w:r w:rsidRPr="00444B7C">
        <w:rPr>
          <w:sz w:val="20"/>
          <w:szCs w:val="20"/>
        </w:rPr>
        <w:t>4.1. O recebimento dar-se-á em duas etapas:</w:t>
      </w:r>
      <w:r w:rsidRPr="00444B7C">
        <w:rPr>
          <w:sz w:val="20"/>
          <w:szCs w:val="20"/>
        </w:rPr>
        <w:br/>
        <w:t>4.1.1. </w:t>
      </w:r>
      <w:r w:rsidRPr="00444B7C">
        <w:rPr>
          <w:b/>
          <w:bCs/>
          <w:sz w:val="20"/>
          <w:szCs w:val="20"/>
        </w:rPr>
        <w:t>Provisório:</w:t>
      </w:r>
      <w:r w:rsidRPr="00444B7C">
        <w:rPr>
          <w:sz w:val="20"/>
          <w:szCs w:val="20"/>
        </w:rPr>
        <w:t> no ato da entrega, para posterior conferência de qualidade e quantidade;</w:t>
      </w:r>
      <w:r w:rsidRPr="00444B7C">
        <w:rPr>
          <w:sz w:val="20"/>
          <w:szCs w:val="20"/>
        </w:rPr>
        <w:br/>
        <w:t>4.1.2. </w:t>
      </w:r>
      <w:r w:rsidRPr="00444B7C">
        <w:rPr>
          <w:b/>
          <w:bCs/>
          <w:sz w:val="20"/>
          <w:szCs w:val="20"/>
        </w:rPr>
        <w:t>Definitivo:</w:t>
      </w:r>
      <w:r w:rsidRPr="00444B7C">
        <w:rPr>
          <w:sz w:val="20"/>
          <w:szCs w:val="20"/>
        </w:rPr>
        <w:t> após a verificação da conformidade do material com as exigências do edital.</w:t>
      </w:r>
      <w:r w:rsidRPr="00444B7C">
        <w:rPr>
          <w:sz w:val="20"/>
          <w:szCs w:val="20"/>
        </w:rPr>
        <w:br/>
        <w:t>4.2. O pagamento será efetuado no prazo estabelecido no Termo de Referência, após a liquidação da despesa e mediante apresentação da </w:t>
      </w:r>
      <w:r w:rsidRPr="00444B7C">
        <w:rPr>
          <w:b/>
          <w:bCs/>
          <w:sz w:val="20"/>
          <w:szCs w:val="20"/>
        </w:rPr>
        <w:t>Nota Fiscal</w:t>
      </w:r>
      <w:r w:rsidRPr="00444B7C">
        <w:rPr>
          <w:sz w:val="20"/>
          <w:szCs w:val="20"/>
        </w:rPr>
        <w:t> acompanhada das certidões de regularidade (Sicaf ou correlatas). </w:t>
      </w:r>
    </w:p>
    <w:p w14:paraId="3D04CAF2" w14:textId="77777777" w:rsidR="00444B7C" w:rsidRPr="00444B7C" w:rsidRDefault="00444B7C" w:rsidP="00444B7C">
      <w:pPr>
        <w:jc w:val="both"/>
        <w:rPr>
          <w:b/>
          <w:bCs/>
          <w:sz w:val="20"/>
          <w:szCs w:val="20"/>
        </w:rPr>
      </w:pPr>
      <w:r w:rsidRPr="00444B7C">
        <w:rPr>
          <w:b/>
          <w:bCs/>
          <w:sz w:val="20"/>
          <w:szCs w:val="20"/>
        </w:rPr>
        <w:t>5. DAS SANÇÕES</w:t>
      </w:r>
    </w:p>
    <w:p w14:paraId="7BEA7051" w14:textId="77777777" w:rsidR="00444B7C" w:rsidRPr="00444B7C" w:rsidRDefault="00444B7C" w:rsidP="00444B7C">
      <w:pPr>
        <w:jc w:val="both"/>
        <w:rPr>
          <w:sz w:val="20"/>
          <w:szCs w:val="20"/>
        </w:rPr>
      </w:pPr>
      <w:r w:rsidRPr="00444B7C">
        <w:rPr>
          <w:sz w:val="20"/>
          <w:szCs w:val="20"/>
        </w:rPr>
        <w:t>5.1. O descumprimento injustificado do prazo de entrega ou das especificações do material sujeitará o contratado às sanções de </w:t>
      </w:r>
      <w:r w:rsidRPr="00444B7C">
        <w:rPr>
          <w:b/>
          <w:bCs/>
          <w:sz w:val="20"/>
          <w:szCs w:val="20"/>
        </w:rPr>
        <w:t>multa moratória</w:t>
      </w:r>
      <w:r w:rsidRPr="00444B7C">
        <w:rPr>
          <w:sz w:val="20"/>
          <w:szCs w:val="20"/>
        </w:rPr>
        <w:t> (por atraso) ou </w:t>
      </w:r>
      <w:r w:rsidRPr="00444B7C">
        <w:rPr>
          <w:b/>
          <w:bCs/>
          <w:sz w:val="20"/>
          <w:szCs w:val="20"/>
        </w:rPr>
        <w:t>multa compensatória</w:t>
      </w:r>
      <w:r w:rsidRPr="00444B7C">
        <w:rPr>
          <w:sz w:val="20"/>
          <w:szCs w:val="20"/>
        </w:rPr>
        <w:t> (por inexecução), conforme previsto no Edital e na Ata de Registro de Preços.</w:t>
      </w:r>
    </w:p>
    <w:p w14:paraId="6BE3BB6D" w14:textId="77777777" w:rsidR="00444B7C" w:rsidRPr="00444B7C" w:rsidRDefault="00000000" w:rsidP="00444B7C">
      <w:pPr>
        <w:jc w:val="both"/>
        <w:rPr>
          <w:sz w:val="20"/>
          <w:szCs w:val="20"/>
        </w:rPr>
      </w:pPr>
      <w:r>
        <w:rPr>
          <w:sz w:val="20"/>
          <w:szCs w:val="20"/>
        </w:rPr>
        <w:pict w14:anchorId="71300933">
          <v:rect id="_x0000_i1025" style="width:0;height:.75pt" o:hralign="center" o:hrstd="t" o:hr="t" fillcolor="#a0a0a0" stroked="f"/>
        </w:pict>
      </w:r>
    </w:p>
    <w:p w14:paraId="44143E5B" w14:textId="77777777" w:rsidR="00085B9E" w:rsidRPr="00444B7C" w:rsidRDefault="00085B9E" w:rsidP="00444B7C">
      <w:pPr>
        <w:jc w:val="both"/>
        <w:rPr>
          <w:sz w:val="20"/>
          <w:szCs w:val="20"/>
        </w:rPr>
      </w:pPr>
    </w:p>
    <w:sectPr w:rsidR="00085B9E" w:rsidRPr="00444B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B7C"/>
    <w:rsid w:val="00085B9E"/>
    <w:rsid w:val="0032683E"/>
    <w:rsid w:val="00444B7C"/>
    <w:rsid w:val="007E55E3"/>
    <w:rsid w:val="00820F84"/>
    <w:rsid w:val="00AB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547E2"/>
  <w15:chartTrackingRefBased/>
  <w15:docId w15:val="{5D98EEB0-3533-4223-8E4E-FB1CD7FC4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Ttulo1">
    <w:name w:val="heading 1"/>
    <w:basedOn w:val="Normal"/>
    <w:next w:val="Normal"/>
    <w:link w:val="Ttulo1Char"/>
    <w:uiPriority w:val="9"/>
    <w:qFormat/>
    <w:rsid w:val="00444B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44B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44B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44B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44B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44B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44B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44B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44B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44B7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44B7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44B7C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44B7C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44B7C"/>
    <w:rPr>
      <w:rFonts w:eastAsiaTheme="majorEastAsia" w:cstheme="majorBidi"/>
      <w:noProof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44B7C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44B7C"/>
    <w:rPr>
      <w:rFonts w:eastAsiaTheme="majorEastAsia" w:cstheme="majorBidi"/>
      <w:noProof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44B7C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44B7C"/>
    <w:rPr>
      <w:rFonts w:eastAsiaTheme="majorEastAsia" w:cstheme="majorBidi"/>
      <w:noProof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44B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44B7C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44B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44B7C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44B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44B7C"/>
    <w:rPr>
      <w:i/>
      <w:iCs/>
      <w:noProof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44B7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44B7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44B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44B7C"/>
    <w:rPr>
      <w:i/>
      <w:iCs/>
      <w:noProof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44B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463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Bernardo</dc:creator>
  <cp:keywords/>
  <dc:description/>
  <cp:lastModifiedBy>Andrei Bernardo</cp:lastModifiedBy>
  <cp:revision>2</cp:revision>
  <dcterms:created xsi:type="dcterms:W3CDTF">2026-03-24T14:21:00Z</dcterms:created>
  <dcterms:modified xsi:type="dcterms:W3CDTF">2026-03-24T17:09:00Z</dcterms:modified>
</cp:coreProperties>
</file>